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stylesWithEffects.xml" ContentType="application/vnd.ms-word.stylesWithEffects+xml"/>
</Types>
</file>

<file path=_rels/.rels><?xml version="1.0" encoding="UTF-8" standalone="no" ?>
<Relationships xmlns="http://schemas.openxmlformats.org/package/2006/relationships"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xmlns:wne="http://schemas.microsoft.com/office/word/2006/wordml" xmlns:wp14="http://schemas.microsoft.com/office/word/2010/wordprocessingDrawing" xmlns:wpi="http://schemas.microsoft.com/office/word/2010/wordprocessingInk" xmlns:aink="http://schemas.microsoft.com/office/drawing/2016/ink" xmlns:dgm="http://schemas.openxmlformats.org/drawingml/2006/diagram">
  <w:body>
    <w:p w14:paraId="00000001">
      <w:pPr>
        <w:widowControl w:val="on"/>
        <w:tabs>
          <w:tab w:val="center" w:leader="none" w:pos="616"/>
        </w:tabs>
        <w:ind w:left="5812" w:right="0" w:firstLine="0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Приложение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  <w:lang w:val="ru-RU"/>
        </w:rPr>
        <w:t>5</w:t>
      </w:r>
      <w:r>
        <w:rPr>
          <w:rFonts w:ascii="Times New Roman" w:hAnsi="Times New Roman"/>
          <w:sz w:val="24"/>
        </w:rPr>
        <w:t xml:space="preserve"> </w:t>
      </w:r>
    </w:p>
    <w:p w14:paraId="00000002">
      <w:pPr>
        <w:widowControl w:val="on"/>
        <w:tabs>
          <w:tab w:val="center" w:leader="none" w:pos="616"/>
        </w:tabs>
        <w:ind w:left="5812" w:right="0" w:firstLine="0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 решению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Совета депутатов</w:t>
      </w:r>
    </w:p>
    <w:p w14:paraId="00000003">
      <w:pPr>
        <w:widowControl w:val="on"/>
        <w:tabs>
          <w:tab w:val="center" w:leader="none" w:pos="616"/>
        </w:tabs>
        <w:ind w:left="5812" w:right="0" w:firstLine="0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сельского поселения Селиярово</w:t>
      </w:r>
    </w:p>
    <w:p w14:paraId="00000004">
      <w:pPr>
        <w:widowControl w:val="on"/>
        <w:tabs>
          <w:tab w:val="center" w:leader="none" w:pos="616"/>
        </w:tabs>
        <w:ind w:left="5812" w:right="0" w:firstLine="0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lang w:val="ru-RU"/>
        </w:rPr>
        <w:t>о</w:t>
      </w:r>
      <w:r>
        <w:rPr>
          <w:rFonts w:ascii="Times New Roman" w:hAnsi="Times New Roman"/>
          <w:sz w:val="24"/>
        </w:rPr>
        <w:t xml:space="preserve">т </w:t>
      </w:r>
      <w:r>
        <w:rPr>
          <w:rFonts w:ascii="Times New Roman" w:hAnsi="Times New Roman"/>
          <w:sz w:val="24"/>
          <w:lang w:val="ru-RU"/>
        </w:rPr>
        <w:t>19</w:t>
      </w:r>
      <w:r>
        <w:rPr>
          <w:rFonts w:ascii="Times New Roman" w:hAnsi="Times New Roman"/>
          <w:sz w:val="24"/>
        </w:rPr>
        <w:t>.</w:t>
      </w:r>
      <w:r>
        <w:rPr>
          <w:rFonts w:ascii="Times New Roman" w:hAnsi="Times New Roman"/>
          <w:sz w:val="24"/>
        </w:rPr>
        <w:t>0</w:t>
      </w:r>
      <w:r>
        <w:rPr>
          <w:rFonts w:ascii="Times New Roman" w:hAnsi="Times New Roman"/>
          <w:sz w:val="24"/>
        </w:rPr>
        <w:t>9</w:t>
      </w:r>
      <w:r>
        <w:rPr>
          <w:rFonts w:ascii="Times New Roman" w:hAnsi="Times New Roman"/>
          <w:sz w:val="24"/>
        </w:rPr>
        <w:t>.20</w:t>
      </w:r>
      <w:r>
        <w:rPr>
          <w:rFonts w:ascii="Times New Roman" w:hAnsi="Times New Roman"/>
          <w:sz w:val="24"/>
        </w:rPr>
        <w:t xml:space="preserve">24 </w:t>
      </w:r>
      <w:r>
        <w:rPr>
          <w:rFonts w:ascii="Times New Roman" w:hAnsi="Times New Roman"/>
          <w:sz w:val="24"/>
          <w:lang w:val="ru-RU"/>
        </w:rPr>
        <w:t xml:space="preserve">г. </w:t>
      </w:r>
      <w:r>
        <w:rPr>
          <w:rFonts w:ascii="Times New Roman" w:hAnsi="Times New Roman"/>
          <w:sz w:val="24"/>
        </w:rPr>
        <w:t xml:space="preserve">№ </w:t>
      </w:r>
      <w:r>
        <w:rPr>
          <w:rFonts w:ascii="Times New Roman" w:hAnsi="Times New Roman"/>
          <w:sz w:val="24"/>
          <w:lang w:val="ru-RU"/>
        </w:rPr>
        <w:t>36</w:t>
      </w:r>
    </w:p>
    <w:p w14:paraId="00000005">
      <w:pPr>
        <w:widowControl w:val="on"/>
        <w:ind w:left="0" w:right="0" w:firstLine="54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     </w:t>
      </w:r>
      <w:r>
        <w:rPr>
          <w:rFonts w:ascii="Times New Roman" w:hAnsi="Times New Roman"/>
        </w:rPr>
        <w:t xml:space="preserve"> </w:t>
      </w:r>
    </w:p>
    <w:p w14:paraId="00000006">
      <w:pPr>
        <w:widowControl w:val="on"/>
        <w:ind w:right="0"/>
        <w:jc w:val="right"/>
        <w:rPr>
          <w:rFonts w:ascii="Times New Roman" w:hAnsi="Times New Roman"/>
        </w:rPr>
      </w:pPr>
    </w:p>
    <w:p w14:paraId="00000007">
      <w:pPr>
        <w:widowControl w:val="on"/>
        <w:ind w:left="0" w:right="0" w:firstLine="0"/>
        <w:jc w:val="center"/>
        <w:rPr>
          <w:rFonts w:ascii="Times New Roman" w:hAnsi="Times New Roman"/>
          <w:b/>
          <w:sz w:val="24"/>
        </w:rPr>
      </w:pPr>
    </w:p>
    <w:p w14:paraId="00000008">
      <w:pPr>
        <w:widowControl w:val="on"/>
        <w:ind w:left="0" w:right="0" w:firstLine="0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ИСТОЧНИКИ</w:t>
      </w:r>
    </w:p>
    <w:p w14:paraId="00000009">
      <w:pPr>
        <w:widowControl w:val="on"/>
        <w:ind w:left="0" w:right="0" w:firstLine="0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 ФИНАНСИРОВАНИЯ ДЕФИЦИТА БЮДЖЕТА</w:t>
      </w:r>
    </w:p>
    <w:p w14:paraId="0000000A">
      <w:pPr>
        <w:widowControl w:val="on"/>
        <w:ind w:left="0" w:right="0" w:firstLine="0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СЕЛЬ</w:t>
      </w:r>
      <w:r>
        <w:rPr>
          <w:rFonts w:ascii="Times New Roman" w:hAnsi="Times New Roman"/>
          <w:b/>
          <w:sz w:val="24"/>
        </w:rPr>
        <w:t>СКОГО ПОСЕЛЕНИЯ  СЕЛИЯРОВО</w:t>
      </w:r>
      <w:r>
        <w:rPr>
          <w:rFonts w:ascii="Times New Roman" w:hAnsi="Times New Roman"/>
          <w:b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НА 20</w:t>
      </w:r>
      <w:r>
        <w:rPr>
          <w:rFonts w:ascii="Times New Roman" w:hAnsi="Times New Roman"/>
          <w:b/>
          <w:sz w:val="24"/>
        </w:rPr>
        <w:t>2</w:t>
      </w:r>
      <w:r>
        <w:rPr>
          <w:rFonts w:ascii="Times New Roman" w:hAnsi="Times New Roman"/>
          <w:b/>
          <w:sz w:val="24"/>
        </w:rPr>
        <w:t>4</w:t>
      </w:r>
      <w:r>
        <w:rPr>
          <w:rFonts w:ascii="Times New Roman" w:hAnsi="Times New Roman"/>
          <w:b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Г</w:t>
      </w:r>
      <w:r>
        <w:rPr>
          <w:rFonts w:ascii="Times New Roman" w:hAnsi="Times New Roman"/>
          <w:b/>
          <w:sz w:val="24"/>
        </w:rPr>
        <w:t>ОД</w:t>
      </w:r>
      <w:r>
        <w:rPr>
          <w:rFonts w:ascii="Times New Roman" w:hAnsi="Times New Roman"/>
          <w:b/>
          <w:sz w:val="24"/>
        </w:rPr>
        <w:t xml:space="preserve"> </w:t>
      </w:r>
    </w:p>
    <w:p w14:paraId="0000000B">
      <w:pPr>
        <w:widowControl w:val="on"/>
        <w:ind w:left="0" w:right="0" w:firstLine="0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и плановый период 20</w:t>
      </w:r>
      <w:r>
        <w:rPr>
          <w:rFonts w:ascii="Times New Roman" w:hAnsi="Times New Roman"/>
          <w:b/>
          <w:sz w:val="24"/>
        </w:rPr>
        <w:t>2</w:t>
      </w:r>
      <w:r>
        <w:rPr>
          <w:rFonts w:ascii="Times New Roman" w:hAnsi="Times New Roman"/>
          <w:b/>
          <w:sz w:val="24"/>
        </w:rPr>
        <w:t>5</w:t>
      </w:r>
      <w:r>
        <w:rPr>
          <w:rFonts w:ascii="Times New Roman" w:hAnsi="Times New Roman"/>
          <w:b/>
          <w:sz w:val="24"/>
        </w:rPr>
        <w:t xml:space="preserve"> и </w:t>
      </w:r>
      <w:r>
        <w:rPr>
          <w:rFonts w:ascii="Times New Roman" w:hAnsi="Times New Roman"/>
          <w:b/>
          <w:sz w:val="24"/>
        </w:rPr>
        <w:t>202</w:t>
      </w:r>
      <w:r>
        <w:rPr>
          <w:rFonts w:ascii="Times New Roman" w:hAnsi="Times New Roman"/>
          <w:b/>
          <w:sz w:val="24"/>
        </w:rPr>
        <w:t>6</w:t>
      </w:r>
      <w:r>
        <w:rPr>
          <w:rFonts w:ascii="Times New Roman" w:hAnsi="Times New Roman"/>
          <w:b/>
          <w:sz w:val="24"/>
        </w:rPr>
        <w:t xml:space="preserve"> годов</w:t>
      </w:r>
    </w:p>
    <w:p w14:paraId="0000000C">
      <w:pPr>
        <w:widowControl w:val="on"/>
        <w:ind w:left="0" w:right="0" w:firstLine="0"/>
        <w:jc w:val="center"/>
        <w:rPr>
          <w:rFonts w:ascii="Times New Roman" w:hAnsi="Times New Roman"/>
          <w:b/>
          <w:sz w:val="24"/>
        </w:rPr>
      </w:pPr>
    </w:p>
    <w:p w14:paraId="0000000D">
      <w:pPr>
        <w:widowControl w:val="on"/>
        <w:ind w:right="0"/>
        <w:jc w:val="center"/>
        <w:rPr>
          <w:rFonts w:ascii="Times New Roman" w:hAnsi="Times New Roman"/>
        </w:rPr>
      </w:pPr>
    </w:p>
    <w:tbl>
      <w:tblPr>
        <w:tblStyle w:val="NormalTable"/>
        <w:tblInd w:w="-540" w:type="dxa"/>
        <w:tblLayout w:type="fixed"/>
        <w:tblCellMar>
          <w:left w:w="70" w:type="dxa"/>
          <w:right w:w="70" w:type="dxa"/>
        </w:tblCellMar>
      </w:tblPr>
      <w:tblGrid>
        <w:gridCol w:w="3020"/>
        <w:gridCol w:w="4111"/>
        <w:gridCol w:w="1134"/>
        <w:gridCol w:w="1134"/>
        <w:gridCol w:w="1134"/>
      </w:tblGrid>
      <w:tr>
        <w:trPr>
          <w:trHeight w:val="720" w:hRule="atLeast"/>
        </w:trPr>
        <w:tc>
          <w:tcPr>
            <w:cnfStyle w:val="100010000000"/>
            <w:tcW w:w="3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0" w:type="dxa"/>
              <w:right w:w="70" w:type="dxa"/>
            </w:tcMar>
          </w:tcPr>
          <w:p w14:paraId="0000000E">
            <w:pPr>
              <w:widowControl w:val="on"/>
              <w:ind w:righ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Код</w:t>
            </w:r>
          </w:p>
        </w:tc>
        <w:tc>
          <w:tcPr>
            <w:cnfStyle w:val="100001000000"/>
            <w:tcW w:w="411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0" w:type="dxa"/>
              <w:right w:w="70" w:type="dxa"/>
            </w:tcMar>
          </w:tcPr>
          <w:p w14:paraId="0000000F">
            <w:pPr>
              <w:widowControl w:val="on"/>
              <w:ind w:righ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Наименование </w:t>
            </w:r>
            <w:r>
              <w:rPr>
                <w:rFonts w:ascii="Times New Roman" w:hAnsi="Times New Roman"/>
                <w:sz w:val="24"/>
              </w:rPr>
              <w:t xml:space="preserve"> кода </w:t>
            </w:r>
            <w:r>
              <w:rPr>
                <w:rFonts w:ascii="Times New Roman" w:hAnsi="Times New Roman"/>
                <w:sz w:val="24"/>
              </w:rPr>
              <w:t>групп</w:t>
            </w:r>
            <w:r>
              <w:rPr>
                <w:rFonts w:ascii="Times New Roman" w:hAnsi="Times New Roman"/>
                <w:sz w:val="24"/>
              </w:rPr>
              <w:t>ы</w:t>
            </w:r>
            <w:r>
              <w:rPr>
                <w:rFonts w:ascii="Times New Roman" w:hAnsi="Times New Roman"/>
                <w:sz w:val="24"/>
              </w:rPr>
              <w:t>, подгрупп</w:t>
            </w:r>
            <w:r>
              <w:rPr>
                <w:rFonts w:ascii="Times New Roman" w:hAnsi="Times New Roman"/>
                <w:sz w:val="24"/>
              </w:rPr>
              <w:t>ы, статьи</w:t>
            </w:r>
            <w:r>
              <w:rPr>
                <w:rFonts w:ascii="Times New Roman" w:hAnsi="Times New Roman"/>
                <w:sz w:val="24"/>
              </w:rPr>
              <w:t xml:space="preserve">,  </w:t>
            </w:r>
            <w:r>
              <w:rPr>
                <w:rFonts w:ascii="Times New Roman" w:hAnsi="Times New Roman"/>
                <w:sz w:val="24"/>
              </w:rPr>
              <w:br w:type="textWrapping"/>
            </w:r>
            <w:r>
              <w:rPr>
                <w:rFonts w:ascii="Times New Roman" w:hAnsi="Times New Roman"/>
                <w:sz w:val="24"/>
              </w:rPr>
              <w:t xml:space="preserve">вида источников финансирования дефицита бюджета, кода классификации операций сектора государственного управления, относящимся к источникам финансирования </w:t>
            </w:r>
            <w:r>
              <w:rPr>
                <w:rFonts w:ascii="Times New Roman" w:hAnsi="Times New Roman"/>
                <w:sz w:val="24"/>
              </w:rPr>
              <w:t>дефицита бюджета</w:t>
            </w:r>
          </w:p>
        </w:tc>
        <w:tc>
          <w:tcPr>
            <w:cnfStyle w:val="100010000000"/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0" w:type="dxa"/>
              <w:right w:w="70" w:type="dxa"/>
            </w:tcMar>
          </w:tcPr>
          <w:p w14:paraId="00000010">
            <w:pPr>
              <w:widowControl w:val="on"/>
              <w:ind w:righ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Сумма, </w:t>
            </w:r>
            <w:r>
              <w:rPr>
                <w:rFonts w:ascii="Times New Roman" w:hAnsi="Times New Roman"/>
                <w:sz w:val="24"/>
              </w:rPr>
              <w:br w:type="textWrapping"/>
            </w:r>
            <w:r>
              <w:rPr>
                <w:rFonts w:ascii="Times New Roman" w:hAnsi="Times New Roman"/>
                <w:sz w:val="24"/>
              </w:rPr>
              <w:t>тыс.руб</w:t>
            </w:r>
            <w:r>
              <w:rPr>
                <w:rFonts w:ascii="Times New Roman" w:hAnsi="Times New Roman"/>
                <w:sz w:val="24"/>
              </w:rPr>
              <w:t>.</w:t>
            </w:r>
            <w:r>
              <w:rPr>
                <w:rFonts w:ascii="Times New Roman" w:hAnsi="Times New Roman"/>
                <w:sz w:val="24"/>
              </w:rPr>
              <w:t xml:space="preserve"> 20</w:t>
            </w:r>
            <w:r>
              <w:rPr>
                <w:rFonts w:ascii="Times New Roman" w:hAnsi="Times New Roman"/>
                <w:sz w:val="24"/>
              </w:rPr>
              <w:t>2</w:t>
            </w:r>
            <w:r>
              <w:rPr>
                <w:rFonts w:ascii="Times New Roman" w:hAnsi="Times New Roman"/>
                <w:sz w:val="24"/>
              </w:rPr>
              <w:t>4</w:t>
            </w:r>
            <w:r>
              <w:rPr>
                <w:rFonts w:ascii="Times New Roman" w:hAnsi="Times New Roman"/>
                <w:sz w:val="24"/>
              </w:rPr>
              <w:t xml:space="preserve"> год</w:t>
            </w:r>
          </w:p>
        </w:tc>
        <w:tc>
          <w:tcPr>
            <w:cnfStyle w:val="100001000000"/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0" w:type="dxa"/>
              <w:right w:w="70" w:type="dxa"/>
            </w:tcMar>
          </w:tcPr>
          <w:p w14:paraId="00000011">
            <w:pPr>
              <w:widowControl w:val="on"/>
              <w:ind w:righ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Сумма, </w:t>
            </w:r>
            <w:r>
              <w:rPr>
                <w:rFonts w:ascii="Times New Roman" w:hAnsi="Times New Roman"/>
                <w:sz w:val="24"/>
              </w:rPr>
              <w:br w:type="textWrapping"/>
            </w:r>
            <w:r>
              <w:rPr>
                <w:rFonts w:ascii="Times New Roman" w:hAnsi="Times New Roman"/>
                <w:sz w:val="24"/>
              </w:rPr>
              <w:t>тыс.руб</w:t>
            </w:r>
            <w:r>
              <w:rPr>
                <w:rFonts w:ascii="Times New Roman" w:hAnsi="Times New Roman"/>
                <w:sz w:val="24"/>
              </w:rPr>
              <w:t xml:space="preserve">. </w:t>
            </w:r>
            <w:r>
              <w:rPr>
                <w:rFonts w:ascii="Times New Roman" w:hAnsi="Times New Roman"/>
                <w:sz w:val="24"/>
              </w:rPr>
              <w:t xml:space="preserve"> 2</w:t>
            </w:r>
            <w:r>
              <w:rPr>
                <w:rFonts w:ascii="Times New Roman" w:hAnsi="Times New Roman"/>
                <w:sz w:val="24"/>
              </w:rPr>
              <w:t>0</w:t>
            </w:r>
            <w:r>
              <w:rPr>
                <w:rFonts w:ascii="Times New Roman" w:hAnsi="Times New Roman"/>
                <w:sz w:val="24"/>
              </w:rPr>
              <w:t>2</w:t>
            </w:r>
            <w:r>
              <w:rPr>
                <w:rFonts w:ascii="Times New Roman" w:hAnsi="Times New Roman"/>
                <w:sz w:val="24"/>
              </w:rPr>
              <w:t>5</w:t>
            </w:r>
            <w:r>
              <w:rPr>
                <w:rFonts w:ascii="Times New Roman" w:hAnsi="Times New Roman"/>
                <w:sz w:val="24"/>
              </w:rPr>
              <w:t xml:space="preserve"> год</w:t>
            </w:r>
          </w:p>
        </w:tc>
        <w:tc>
          <w:tcPr>
            <w:cnfStyle w:val="100010000000"/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0" w:type="dxa"/>
              <w:right w:w="70" w:type="dxa"/>
            </w:tcMar>
          </w:tcPr>
          <w:p w14:paraId="00000012">
            <w:pPr>
              <w:widowControl w:val="on"/>
              <w:ind w:righ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Сумма, </w:t>
            </w:r>
            <w:r>
              <w:rPr>
                <w:rFonts w:ascii="Times New Roman" w:hAnsi="Times New Roman"/>
                <w:sz w:val="24"/>
              </w:rPr>
              <w:br w:type="textWrapping"/>
            </w:r>
            <w:r>
              <w:rPr>
                <w:rFonts w:ascii="Times New Roman" w:hAnsi="Times New Roman"/>
                <w:sz w:val="24"/>
              </w:rPr>
              <w:t>тыс.руб</w:t>
            </w:r>
            <w:r>
              <w:rPr>
                <w:rFonts w:ascii="Times New Roman" w:hAnsi="Times New Roman"/>
                <w:sz w:val="24"/>
              </w:rPr>
              <w:t>.</w:t>
            </w:r>
            <w:r>
              <w:rPr>
                <w:rFonts w:ascii="Times New Roman" w:hAnsi="Times New Roman"/>
                <w:sz w:val="24"/>
              </w:rPr>
              <w:t xml:space="preserve"> 202</w:t>
            </w:r>
            <w:r>
              <w:rPr>
                <w:rFonts w:ascii="Times New Roman" w:hAnsi="Times New Roman"/>
                <w:sz w:val="24"/>
              </w:rPr>
              <w:t>6</w:t>
            </w:r>
            <w:r>
              <w:rPr>
                <w:rFonts w:ascii="Times New Roman" w:hAnsi="Times New Roman"/>
                <w:sz w:val="24"/>
              </w:rPr>
              <w:t xml:space="preserve"> год</w:t>
            </w:r>
          </w:p>
        </w:tc>
      </w:tr>
      <w:tr>
        <w:trPr>
          <w:trHeight w:val="600" w:hRule="atLeast"/>
        </w:trPr>
        <w:tc>
          <w:tcPr>
            <w:cnfStyle w:val="000010000000"/>
            <w:tcW w:w="3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0" w:type="dxa"/>
              <w:right w:w="70" w:type="dxa"/>
            </w:tcMar>
          </w:tcPr>
          <w:p w14:paraId="00000013">
            <w:pPr>
              <w:widowControl w:val="on"/>
              <w:ind w:right="0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650 01 03 0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0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0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00 0000 000</w:t>
            </w:r>
          </w:p>
        </w:tc>
        <w:tc>
          <w:tcPr>
            <w:cnfStyle w:val="000001000000"/>
            <w:tcW w:w="411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0" w:type="dxa"/>
              <w:right w:w="70" w:type="dxa"/>
            </w:tcMar>
          </w:tcPr>
          <w:p w14:paraId="00000014">
            <w:pPr>
              <w:widowControl w:val="on"/>
              <w:ind w:right="0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cnfStyle w:val="000010000000"/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0" w:type="dxa"/>
              <w:right w:w="70" w:type="dxa"/>
            </w:tcMar>
            <w:vAlign w:val="center"/>
          </w:tcPr>
          <w:p w14:paraId="00000015">
            <w:pPr>
              <w:widowControl w:val="on"/>
              <w:ind w:right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0,0</w:t>
            </w:r>
          </w:p>
        </w:tc>
        <w:tc>
          <w:tcPr>
            <w:cnfStyle w:val="000001000000"/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0" w:type="dxa"/>
              <w:right w:w="70" w:type="dxa"/>
            </w:tcMar>
            <w:vAlign w:val="center"/>
          </w:tcPr>
          <w:p w14:paraId="00000016">
            <w:pPr>
              <w:jc w:val="center"/>
              <w:rPr/>
            </w:pPr>
            <w:r>
              <w:rPr>
                <w:b/>
              </w:rPr>
              <w:t>0,0</w:t>
            </w:r>
          </w:p>
        </w:tc>
        <w:tc>
          <w:tcPr>
            <w:cnfStyle w:val="000010000000"/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0" w:type="dxa"/>
              <w:right w:w="70" w:type="dxa"/>
            </w:tcMar>
            <w:vAlign w:val="center"/>
          </w:tcPr>
          <w:p w14:paraId="00000017">
            <w:pPr>
              <w:jc w:val="center"/>
              <w:rPr/>
            </w:pPr>
            <w:r>
              <w:rPr>
                <w:b/>
              </w:rPr>
              <w:t>0,0</w:t>
            </w:r>
          </w:p>
        </w:tc>
      </w:tr>
      <w:tr>
        <w:trPr>
          <w:trHeight w:val="600" w:hRule="atLeast"/>
        </w:trPr>
        <w:tc>
          <w:tcPr>
            <w:cnfStyle w:val="000010000000"/>
            <w:tcW w:w="3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0" w:type="dxa"/>
              <w:right w:w="70" w:type="dxa"/>
            </w:tcMar>
          </w:tcPr>
          <w:p w14:paraId="00000018">
            <w:pPr>
              <w:widowControl w:val="on"/>
              <w:ind w:right="0"/>
              <w:rPr>
                <w:rFonts w:ascii="Times New Roman" w:hAnsi="Times New Roman"/>
                <w:color w:val="000000"/>
                <w:sz w:val="23"/>
              </w:rPr>
            </w:pPr>
            <w:r>
              <w:rPr>
                <w:rFonts w:ascii="Times New Roman" w:hAnsi="Times New Roman"/>
                <w:color w:val="000000"/>
                <w:sz w:val="23"/>
              </w:rPr>
              <w:t>650</w:t>
            </w:r>
            <w:r>
              <w:rPr>
                <w:rFonts w:ascii="Times New Roman" w:hAnsi="Times New Roman"/>
                <w:color w:val="000000"/>
                <w:sz w:val="23"/>
              </w:rPr>
              <w:t xml:space="preserve"> 01 03 00 00 </w:t>
            </w:r>
            <w:r>
              <w:rPr>
                <w:rFonts w:ascii="Times New Roman" w:hAnsi="Times New Roman"/>
                <w:color w:val="000000"/>
                <w:sz w:val="23"/>
              </w:rPr>
              <w:t>10</w:t>
            </w:r>
            <w:r>
              <w:rPr>
                <w:rFonts w:ascii="Times New Roman" w:hAnsi="Times New Roman"/>
                <w:color w:val="000000"/>
                <w:sz w:val="23"/>
              </w:rPr>
              <w:t xml:space="preserve"> 0000 710</w:t>
            </w:r>
          </w:p>
        </w:tc>
        <w:tc>
          <w:tcPr>
            <w:cnfStyle w:val="000001000000"/>
            <w:tcW w:w="411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0" w:type="dxa"/>
              <w:right w:w="70" w:type="dxa"/>
            </w:tcMar>
          </w:tcPr>
          <w:p w14:paraId="00000019">
            <w:pPr>
              <w:widowControl w:val="on"/>
              <w:ind w:right="0"/>
              <w:rPr>
                <w:rFonts w:ascii="Times New Roman" w:hAnsi="Times New Roman"/>
                <w:color w:val="000000"/>
                <w:sz w:val="23"/>
              </w:rPr>
            </w:pPr>
            <w:r>
              <w:rPr>
                <w:rFonts w:ascii="Times New Roman" w:hAnsi="Times New Roman"/>
                <w:color w:val="000000"/>
                <w:sz w:val="23"/>
              </w:rPr>
              <w:t>Привлечение кредитов из других бюджетов бюджетной системы Российской Федерации бюджетами сельских поселений в валюте Российской Федерации</w:t>
            </w:r>
          </w:p>
        </w:tc>
        <w:tc>
          <w:tcPr>
            <w:cnfStyle w:val="000010000000"/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0" w:type="dxa"/>
              <w:right w:w="70" w:type="dxa"/>
            </w:tcMar>
            <w:vAlign w:val="center"/>
          </w:tcPr>
          <w:p w14:paraId="0000001A">
            <w:pPr>
              <w:widowControl w:val="on"/>
              <w:ind w:righ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  <w:r>
              <w:rPr>
                <w:rFonts w:ascii="Times New Roman" w:hAnsi="Times New Roman"/>
                <w:sz w:val="24"/>
              </w:rPr>
              <w:t>,0</w:t>
            </w:r>
          </w:p>
        </w:tc>
        <w:tc>
          <w:tcPr>
            <w:cnfStyle w:val="000001000000"/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0" w:type="dxa"/>
              <w:right w:w="70" w:type="dxa"/>
            </w:tcMar>
            <w:vAlign w:val="center"/>
          </w:tcPr>
          <w:p w14:paraId="0000001B">
            <w:pPr>
              <w:widowControl w:val="on"/>
              <w:ind w:righ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  <w:r>
              <w:rPr>
                <w:rFonts w:ascii="Times New Roman" w:hAnsi="Times New Roman"/>
                <w:sz w:val="24"/>
              </w:rPr>
              <w:t>,0</w:t>
            </w:r>
          </w:p>
        </w:tc>
        <w:tc>
          <w:tcPr>
            <w:cnfStyle w:val="000010000000"/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0" w:type="dxa"/>
              <w:right w:w="70" w:type="dxa"/>
            </w:tcMar>
            <w:vAlign w:val="center"/>
          </w:tcPr>
          <w:p w14:paraId="0000001C">
            <w:pPr>
              <w:widowControl w:val="on"/>
              <w:ind w:righ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  <w:r>
              <w:rPr>
                <w:rFonts w:ascii="Times New Roman" w:hAnsi="Times New Roman"/>
                <w:sz w:val="24"/>
              </w:rPr>
              <w:t>,0</w:t>
            </w:r>
          </w:p>
        </w:tc>
      </w:tr>
      <w:tr>
        <w:trPr>
          <w:trHeight w:val="480" w:hRule="atLeast"/>
        </w:trPr>
        <w:tc>
          <w:tcPr>
            <w:cnfStyle w:val="000010000000"/>
            <w:tcW w:w="3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0" w:type="dxa"/>
              <w:right w:w="70" w:type="dxa"/>
            </w:tcMar>
          </w:tcPr>
          <w:p w14:paraId="0000001D">
            <w:pPr>
              <w:widowControl w:val="on"/>
              <w:ind w:right="0"/>
              <w:rPr>
                <w:rFonts w:ascii="Times New Roman" w:hAnsi="Times New Roman"/>
                <w:color w:val="000000"/>
                <w:sz w:val="23"/>
              </w:rPr>
            </w:pPr>
            <w:r>
              <w:rPr>
                <w:rFonts w:ascii="Times New Roman" w:hAnsi="Times New Roman"/>
                <w:color w:val="000000"/>
                <w:sz w:val="23"/>
              </w:rPr>
              <w:t>650</w:t>
            </w:r>
            <w:r>
              <w:rPr>
                <w:rFonts w:ascii="Times New Roman" w:hAnsi="Times New Roman"/>
                <w:color w:val="000000"/>
                <w:sz w:val="23"/>
              </w:rPr>
              <w:t xml:space="preserve"> 01 03 00 00 </w:t>
            </w:r>
            <w:r>
              <w:rPr>
                <w:rFonts w:ascii="Times New Roman" w:hAnsi="Times New Roman"/>
                <w:color w:val="000000"/>
                <w:sz w:val="23"/>
              </w:rPr>
              <w:t>10</w:t>
            </w:r>
            <w:r>
              <w:rPr>
                <w:rFonts w:ascii="Times New Roman" w:hAnsi="Times New Roman"/>
                <w:color w:val="000000"/>
                <w:sz w:val="23"/>
              </w:rPr>
              <w:t xml:space="preserve"> 0000 810</w:t>
            </w:r>
          </w:p>
        </w:tc>
        <w:tc>
          <w:tcPr>
            <w:cnfStyle w:val="000001000000"/>
            <w:tcW w:w="411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0" w:type="dxa"/>
              <w:right w:w="70" w:type="dxa"/>
            </w:tcMar>
          </w:tcPr>
          <w:p w14:paraId="0000001E">
            <w:pPr>
              <w:widowControl w:val="on"/>
              <w:ind w:right="0"/>
              <w:rPr>
                <w:rFonts w:ascii="Times New Roman" w:hAnsi="Times New Roman"/>
                <w:color w:val="000000"/>
                <w:sz w:val="23"/>
              </w:rPr>
            </w:pPr>
            <w:r>
              <w:rPr>
                <w:rFonts w:ascii="Times New Roman" w:hAnsi="Times New Roman"/>
                <w:color w:val="000000"/>
                <w:sz w:val="23"/>
              </w:rPr>
              <w:t>Погашение бюджетами сельских поселений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cnfStyle w:val="000010000000"/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0" w:type="dxa"/>
              <w:right w:w="70" w:type="dxa"/>
            </w:tcMar>
            <w:vAlign w:val="center"/>
          </w:tcPr>
          <w:p w14:paraId="0000001F">
            <w:pPr>
              <w:widowControl w:val="on"/>
              <w:ind w:righ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</w:t>
            </w:r>
          </w:p>
        </w:tc>
        <w:tc>
          <w:tcPr>
            <w:cnfStyle w:val="000001000000"/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0" w:type="dxa"/>
              <w:right w:w="70" w:type="dxa"/>
            </w:tcMar>
            <w:vAlign w:val="center"/>
          </w:tcPr>
          <w:p w14:paraId="00000020">
            <w:pPr>
              <w:widowControl w:val="on"/>
              <w:ind w:righ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</w:t>
            </w:r>
          </w:p>
        </w:tc>
        <w:tc>
          <w:tcPr>
            <w:cnfStyle w:val="000010000000"/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0" w:type="dxa"/>
              <w:right w:w="70" w:type="dxa"/>
            </w:tcMar>
            <w:vAlign w:val="center"/>
          </w:tcPr>
          <w:p w14:paraId="00000021">
            <w:pPr>
              <w:widowControl w:val="on"/>
              <w:ind w:righ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</w:t>
            </w:r>
          </w:p>
        </w:tc>
      </w:tr>
      <w:tr>
        <w:trPr>
          <w:trHeight w:val="240" w:hRule="atLeast"/>
        </w:trPr>
        <w:tc>
          <w:tcPr>
            <w:cnfStyle w:val="000010000000"/>
            <w:tcW w:w="3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0" w:type="dxa"/>
              <w:right w:w="70" w:type="dxa"/>
            </w:tcMar>
          </w:tcPr>
          <w:p w14:paraId="00000022">
            <w:pPr>
              <w:widowControl w:val="on"/>
              <w:ind w:right="0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650 01 05 00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00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00 0000 000</w:t>
            </w:r>
          </w:p>
        </w:tc>
        <w:tc>
          <w:tcPr>
            <w:cnfStyle w:val="000001000000"/>
            <w:tcW w:w="411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0" w:type="dxa"/>
              <w:right w:w="70" w:type="dxa"/>
            </w:tcMar>
          </w:tcPr>
          <w:p w14:paraId="00000023">
            <w:pPr>
              <w:widowControl w:val="on"/>
              <w:ind w:right="0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Изменение остатков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средств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на счетах  по учету средств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бюджета                 </w:t>
            </w:r>
          </w:p>
        </w:tc>
        <w:tc>
          <w:tcPr>
            <w:cnfStyle w:val="000010000000"/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0" w:type="dxa"/>
              <w:right w:w="70" w:type="dxa"/>
            </w:tcMar>
            <w:vAlign w:val="center"/>
          </w:tcPr>
          <w:p w14:paraId="00000024">
            <w:pPr>
              <w:widowControl w:val="on"/>
              <w:ind w:right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0,0</w:t>
            </w:r>
          </w:p>
        </w:tc>
        <w:tc>
          <w:tcPr>
            <w:cnfStyle w:val="000001000000"/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0" w:type="dxa"/>
              <w:right w:w="70" w:type="dxa"/>
            </w:tcMar>
            <w:vAlign w:val="center"/>
          </w:tcPr>
          <w:p w14:paraId="00000025">
            <w:pPr>
              <w:jc w:val="center"/>
              <w:rPr/>
            </w:pPr>
            <w:r>
              <w:rPr>
                <w:b/>
              </w:rPr>
              <w:t>0,0</w:t>
            </w:r>
          </w:p>
        </w:tc>
        <w:tc>
          <w:tcPr>
            <w:cnfStyle w:val="000010000000"/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0" w:type="dxa"/>
              <w:right w:w="70" w:type="dxa"/>
            </w:tcMar>
            <w:vAlign w:val="center"/>
          </w:tcPr>
          <w:p w14:paraId="00000026">
            <w:pPr>
              <w:jc w:val="center"/>
              <w:rPr/>
            </w:pPr>
            <w:r>
              <w:rPr>
                <w:b/>
              </w:rPr>
              <w:t>0,0</w:t>
            </w:r>
          </w:p>
        </w:tc>
      </w:tr>
      <w:tr>
        <w:trPr>
          <w:trHeight w:val="240" w:hRule="atLeast"/>
        </w:trPr>
        <w:tc>
          <w:tcPr>
            <w:cnfStyle w:val="000010000000"/>
            <w:tcW w:w="3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0" w:type="dxa"/>
              <w:right w:w="70" w:type="dxa"/>
            </w:tcMar>
          </w:tcPr>
          <w:p w14:paraId="00000027">
            <w:pPr>
              <w:widowControl w:val="on"/>
              <w:ind w:right="0"/>
              <w:rPr>
                <w:rFonts w:ascii="Times New Roman" w:hAnsi="Times New Roman"/>
                <w:color w:val="000000"/>
                <w:sz w:val="23"/>
              </w:rPr>
            </w:pPr>
            <w:r>
              <w:rPr>
                <w:rFonts w:ascii="Times New Roman" w:hAnsi="Times New Roman"/>
                <w:color w:val="000000"/>
                <w:sz w:val="23"/>
              </w:rPr>
              <w:t>65</w:t>
            </w:r>
            <w:r>
              <w:rPr>
                <w:rFonts w:ascii="Times New Roman" w:hAnsi="Times New Roman"/>
                <w:color w:val="000000"/>
                <w:sz w:val="23"/>
              </w:rPr>
              <w:t xml:space="preserve">0 01 05 02 01 </w:t>
            </w:r>
            <w:r>
              <w:rPr>
                <w:rFonts w:ascii="Times New Roman" w:hAnsi="Times New Roman"/>
                <w:color w:val="000000"/>
                <w:sz w:val="23"/>
              </w:rPr>
              <w:t>10</w:t>
            </w:r>
            <w:r>
              <w:rPr>
                <w:rFonts w:ascii="Times New Roman" w:hAnsi="Times New Roman"/>
                <w:color w:val="000000"/>
                <w:sz w:val="23"/>
              </w:rPr>
              <w:t xml:space="preserve"> 0000 510 </w:t>
            </w:r>
          </w:p>
        </w:tc>
        <w:tc>
          <w:tcPr>
            <w:cnfStyle w:val="000001000000"/>
            <w:tcW w:w="411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0" w:type="dxa"/>
              <w:right w:w="70" w:type="dxa"/>
            </w:tcMar>
          </w:tcPr>
          <w:p w14:paraId="00000028">
            <w:pPr>
              <w:widowControl w:val="on"/>
              <w:ind w:right="0"/>
              <w:rPr>
                <w:rFonts w:ascii="Times New Roman" w:hAnsi="Times New Roman"/>
                <w:color w:val="000000"/>
                <w:sz w:val="23"/>
              </w:rPr>
            </w:pPr>
            <w:r>
              <w:rPr>
                <w:rFonts w:ascii="Times New Roman" w:hAnsi="Times New Roman"/>
                <w:color w:val="000000"/>
                <w:sz w:val="23"/>
              </w:rPr>
              <w:t xml:space="preserve">Увеличение прочих  остатков денежных средств бюджетов </w:t>
            </w:r>
            <w:r>
              <w:rPr>
                <w:rFonts w:ascii="Times New Roman" w:hAnsi="Times New Roman"/>
                <w:color w:val="000000"/>
                <w:sz w:val="23"/>
              </w:rPr>
              <w:t xml:space="preserve">сельских </w:t>
            </w:r>
            <w:r>
              <w:rPr>
                <w:rFonts w:ascii="Times New Roman" w:hAnsi="Times New Roman"/>
                <w:color w:val="000000"/>
                <w:sz w:val="23"/>
              </w:rPr>
              <w:t>поселений</w:t>
            </w:r>
          </w:p>
        </w:tc>
        <w:tc>
          <w:tcPr>
            <w:cnfStyle w:val="000010000000"/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0" w:type="dxa"/>
              <w:right w:w="70" w:type="dxa"/>
            </w:tcMar>
            <w:vAlign w:val="center"/>
          </w:tcPr>
          <w:p w14:paraId="00000029">
            <w:pPr>
              <w:widowControl w:val="on"/>
              <w:ind w:righ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83 889,3</w:t>
            </w:r>
          </w:p>
          <w:p w14:paraId="0000002A">
            <w:pPr>
              <w:widowControl w:val="on"/>
              <w:ind w:right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cnfStyle w:val="000001000000"/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0" w:type="dxa"/>
              <w:right w:w="70" w:type="dxa"/>
            </w:tcMar>
            <w:vAlign w:val="center"/>
          </w:tcPr>
          <w:p w14:paraId="0000002B">
            <w:pPr>
              <w:widowControl w:val="on"/>
              <w:ind w:righ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35 233,</w:t>
            </w: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cnfStyle w:val="000010000000"/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0" w:type="dxa"/>
              <w:right w:w="70" w:type="dxa"/>
            </w:tcMar>
            <w:vAlign w:val="center"/>
          </w:tcPr>
          <w:p w14:paraId="0000002C">
            <w:pPr>
              <w:widowControl w:val="on"/>
              <w:ind w:righ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34 720,</w:t>
            </w:r>
            <w:r>
              <w:rPr>
                <w:rFonts w:ascii="Times New Roman" w:hAnsi="Times New Roman"/>
                <w:sz w:val="24"/>
              </w:rPr>
              <w:t>0</w:t>
            </w:r>
          </w:p>
        </w:tc>
      </w:tr>
      <w:tr>
        <w:trPr>
          <w:trHeight w:val="531" w:hRule="atLeast"/>
        </w:trPr>
        <w:tc>
          <w:tcPr>
            <w:cnfStyle w:val="000010000000"/>
            <w:tcW w:w="3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0" w:type="dxa"/>
              <w:right w:w="70" w:type="dxa"/>
            </w:tcMar>
          </w:tcPr>
          <w:p w14:paraId="0000002D">
            <w:pPr>
              <w:widowControl w:val="on"/>
              <w:ind w:right="0"/>
              <w:rPr>
                <w:rFonts w:ascii="Times New Roman" w:hAnsi="Times New Roman"/>
                <w:color w:val="000000"/>
                <w:sz w:val="23"/>
              </w:rPr>
            </w:pPr>
            <w:r>
              <w:rPr>
                <w:rFonts w:ascii="Times New Roman" w:hAnsi="Times New Roman"/>
                <w:color w:val="000000"/>
                <w:sz w:val="23"/>
              </w:rPr>
              <w:t>65</w:t>
            </w:r>
            <w:r>
              <w:rPr>
                <w:rFonts w:ascii="Times New Roman" w:hAnsi="Times New Roman"/>
                <w:color w:val="000000"/>
                <w:sz w:val="23"/>
              </w:rPr>
              <w:t xml:space="preserve">0 01 05 02 01 </w:t>
            </w:r>
            <w:r>
              <w:rPr>
                <w:rFonts w:ascii="Times New Roman" w:hAnsi="Times New Roman"/>
                <w:color w:val="000000"/>
                <w:sz w:val="23"/>
              </w:rPr>
              <w:t>10</w:t>
            </w:r>
            <w:r>
              <w:rPr>
                <w:rFonts w:ascii="Times New Roman" w:hAnsi="Times New Roman"/>
                <w:color w:val="000000"/>
                <w:sz w:val="23"/>
              </w:rPr>
              <w:t xml:space="preserve"> 0000 610</w:t>
            </w:r>
          </w:p>
        </w:tc>
        <w:tc>
          <w:tcPr>
            <w:cnfStyle w:val="000001000000"/>
            <w:tcW w:w="411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0" w:type="dxa"/>
              <w:right w:w="70" w:type="dxa"/>
            </w:tcMar>
          </w:tcPr>
          <w:p w14:paraId="0000002E">
            <w:pPr>
              <w:widowControl w:val="on"/>
              <w:ind w:right="0"/>
              <w:rPr>
                <w:rFonts w:ascii="Times New Roman" w:hAnsi="Times New Roman"/>
                <w:color w:val="000000"/>
                <w:sz w:val="23"/>
              </w:rPr>
            </w:pPr>
            <w:r>
              <w:rPr>
                <w:rFonts w:ascii="Times New Roman" w:hAnsi="Times New Roman"/>
                <w:color w:val="000000"/>
                <w:sz w:val="23"/>
              </w:rPr>
              <w:t>Уменьшение прочих остатков денежных средств бюджетов</w:t>
            </w:r>
            <w:r>
              <w:rPr>
                <w:rFonts w:ascii="Times New Roman" w:hAnsi="Times New Roman"/>
                <w:color w:val="000000"/>
                <w:sz w:val="23"/>
              </w:rPr>
              <w:t xml:space="preserve"> сельских</w:t>
            </w:r>
            <w:r>
              <w:rPr>
                <w:rFonts w:ascii="Times New Roman" w:hAnsi="Times New Roman"/>
                <w:color w:val="000000"/>
                <w:sz w:val="23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3"/>
              </w:rPr>
              <w:t>поселений</w:t>
            </w:r>
            <w:r>
              <w:rPr>
                <w:rFonts w:ascii="Times New Roman" w:hAnsi="Times New Roman"/>
                <w:color w:val="000000"/>
                <w:sz w:val="23"/>
              </w:rPr>
              <w:t xml:space="preserve">                           </w:t>
            </w:r>
          </w:p>
        </w:tc>
        <w:tc>
          <w:tcPr>
            <w:cnfStyle w:val="000010000000"/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0" w:type="dxa"/>
              <w:right w:w="70" w:type="dxa"/>
            </w:tcMar>
            <w:vAlign w:val="center"/>
          </w:tcPr>
          <w:p w14:paraId="0000002F">
            <w:pPr>
              <w:widowControl w:val="on"/>
              <w:ind w:right="0"/>
              <w:jc w:val="center"/>
              <w:rPr>
                <w:rFonts w:ascii="Times New Roman" w:hAnsi="Times New Roman"/>
                <w:sz w:val="24"/>
              </w:rPr>
            </w:pPr>
          </w:p>
          <w:p w14:paraId="00000030">
            <w:pPr>
              <w:widowControl w:val="on"/>
              <w:ind w:righ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103 410,9</w:t>
            </w:r>
          </w:p>
          <w:p w14:paraId="00000031">
            <w:pPr>
              <w:widowControl w:val="on"/>
              <w:ind w:right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cnfStyle w:val="000001000000"/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0" w:type="dxa"/>
              <w:right w:w="70" w:type="dxa"/>
            </w:tcMar>
            <w:vAlign w:val="center"/>
          </w:tcPr>
          <w:p w14:paraId="00000032">
            <w:pPr>
              <w:widowControl w:val="on"/>
              <w:ind w:righ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35 233,3</w:t>
            </w:r>
          </w:p>
        </w:tc>
        <w:tc>
          <w:tcPr>
            <w:cnfStyle w:val="000010000000"/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0" w:type="dxa"/>
              <w:right w:w="70" w:type="dxa"/>
            </w:tcMar>
            <w:vAlign w:val="center"/>
          </w:tcPr>
          <w:p w14:paraId="00000033">
            <w:pPr>
              <w:widowControl w:val="on"/>
              <w:ind w:righ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34 720,0</w:t>
            </w:r>
          </w:p>
        </w:tc>
      </w:tr>
      <w:tr>
        <w:trPr>
          <w:trHeight w:val="360" w:hRule="atLeast"/>
        </w:trPr>
        <w:tc>
          <w:tcPr>
            <w:cnfStyle w:val="000010000000"/>
            <w:tcW w:w="3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0" w:type="dxa"/>
              <w:right w:w="70" w:type="dxa"/>
            </w:tcMar>
          </w:tcPr>
          <w:p w14:paraId="00000034">
            <w:pPr>
              <w:widowControl w:val="on"/>
              <w:ind w:right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650 01 06 05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00 00 0000 000</w:t>
            </w:r>
          </w:p>
        </w:tc>
        <w:tc>
          <w:tcPr>
            <w:cnfStyle w:val="000001000000"/>
            <w:tcW w:w="411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0" w:type="dxa"/>
              <w:right w:w="70" w:type="dxa"/>
            </w:tcMar>
          </w:tcPr>
          <w:p w14:paraId="00000035">
            <w:pPr>
              <w:widowControl w:val="on"/>
              <w:ind w:right="0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cnfStyle w:val="000010000000"/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0" w:type="dxa"/>
              <w:right w:w="70" w:type="dxa"/>
            </w:tcMar>
            <w:vAlign w:val="center"/>
          </w:tcPr>
          <w:p w14:paraId="00000036">
            <w:pPr>
              <w:widowControl w:val="on"/>
              <w:ind w:right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0,0</w:t>
            </w:r>
          </w:p>
        </w:tc>
        <w:tc>
          <w:tcPr>
            <w:cnfStyle w:val="000001000000"/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0" w:type="dxa"/>
              <w:right w:w="70" w:type="dxa"/>
            </w:tcMar>
            <w:vAlign w:val="center"/>
          </w:tcPr>
          <w:p w14:paraId="00000037">
            <w:pPr>
              <w:jc w:val="center"/>
              <w:rPr/>
            </w:pPr>
            <w:r>
              <w:rPr>
                <w:b/>
              </w:rPr>
              <w:t>0,0</w:t>
            </w:r>
          </w:p>
        </w:tc>
        <w:tc>
          <w:tcPr>
            <w:cnfStyle w:val="000010000000"/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0" w:type="dxa"/>
              <w:right w:w="70" w:type="dxa"/>
            </w:tcMar>
            <w:vAlign w:val="center"/>
          </w:tcPr>
          <w:p w14:paraId="00000038">
            <w:pPr>
              <w:jc w:val="center"/>
              <w:rPr/>
            </w:pPr>
            <w:r>
              <w:rPr>
                <w:b/>
              </w:rPr>
              <w:t>0,0</w:t>
            </w:r>
          </w:p>
        </w:tc>
      </w:tr>
      <w:tr>
        <w:trPr>
          <w:trHeight w:val="360" w:hRule="atLeast"/>
        </w:trPr>
        <w:tc>
          <w:tcPr>
            <w:cnfStyle w:val="000010000000"/>
            <w:tcW w:w="3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0" w:type="dxa"/>
              <w:right w:w="70" w:type="dxa"/>
            </w:tcMar>
          </w:tcPr>
          <w:p w14:paraId="00000039">
            <w:pPr>
              <w:widowControl w:val="on"/>
              <w:ind w:right="0"/>
              <w:rPr>
                <w:rFonts w:ascii="Times New Roman" w:hAnsi="Times New Roman"/>
                <w:color w:val="000000"/>
                <w:sz w:val="23"/>
              </w:rPr>
            </w:pPr>
            <w:r>
              <w:rPr>
                <w:rFonts w:ascii="Times New Roman" w:hAnsi="Times New Roman"/>
                <w:color w:val="000000"/>
                <w:sz w:val="23"/>
              </w:rPr>
              <w:t>65</w:t>
            </w:r>
            <w:r>
              <w:rPr>
                <w:rFonts w:ascii="Times New Roman" w:hAnsi="Times New Roman"/>
                <w:color w:val="000000"/>
                <w:sz w:val="23"/>
              </w:rPr>
              <w:t xml:space="preserve">0 01 06 05 01 </w:t>
            </w:r>
            <w:r>
              <w:rPr>
                <w:rFonts w:ascii="Times New Roman" w:hAnsi="Times New Roman"/>
                <w:color w:val="000000"/>
                <w:sz w:val="23"/>
              </w:rPr>
              <w:t>10</w:t>
            </w:r>
            <w:r>
              <w:rPr>
                <w:rFonts w:ascii="Times New Roman" w:hAnsi="Times New Roman"/>
                <w:color w:val="000000"/>
                <w:sz w:val="23"/>
              </w:rPr>
              <w:t xml:space="preserve"> 0000 640</w:t>
            </w:r>
          </w:p>
        </w:tc>
        <w:tc>
          <w:tcPr>
            <w:cnfStyle w:val="000001000000"/>
            <w:tcW w:w="411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0" w:type="dxa"/>
              <w:right w:w="70" w:type="dxa"/>
            </w:tcMar>
          </w:tcPr>
          <w:p w14:paraId="0000003A">
            <w:pPr>
              <w:widowControl w:val="on"/>
              <w:ind w:right="0"/>
              <w:rPr>
                <w:rFonts w:ascii="Times New Roman" w:hAnsi="Times New Roman"/>
                <w:color w:val="000000"/>
                <w:sz w:val="23"/>
              </w:rPr>
            </w:pPr>
            <w:r>
              <w:rPr>
                <w:rFonts w:ascii="Times New Roman" w:hAnsi="Times New Roman"/>
                <w:color w:val="000000"/>
                <w:sz w:val="23"/>
              </w:rPr>
              <w:t xml:space="preserve">Возврат бюджетных кредитов, предоставленных юридическим лицам из бюджетов </w:t>
            </w:r>
            <w:r>
              <w:rPr>
                <w:rFonts w:ascii="Times New Roman" w:hAnsi="Times New Roman"/>
                <w:color w:val="000000"/>
                <w:sz w:val="23"/>
              </w:rPr>
              <w:t>сельских поселений</w:t>
            </w:r>
            <w:r>
              <w:rPr>
                <w:rFonts w:ascii="Times New Roman" w:hAnsi="Times New Roman"/>
                <w:color w:val="000000"/>
                <w:sz w:val="23"/>
              </w:rPr>
              <w:t xml:space="preserve"> в валюте Российской Федерации</w:t>
            </w:r>
          </w:p>
        </w:tc>
        <w:tc>
          <w:tcPr>
            <w:cnfStyle w:val="000010000000"/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0" w:type="dxa"/>
              <w:right w:w="70" w:type="dxa"/>
            </w:tcMar>
            <w:vAlign w:val="center"/>
          </w:tcPr>
          <w:p w14:paraId="0000003B">
            <w:pPr>
              <w:widowControl w:val="on"/>
              <w:ind w:righ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</w:t>
            </w:r>
          </w:p>
        </w:tc>
        <w:tc>
          <w:tcPr>
            <w:cnfStyle w:val="000001000000"/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0" w:type="dxa"/>
              <w:right w:w="70" w:type="dxa"/>
            </w:tcMar>
            <w:vAlign w:val="center"/>
          </w:tcPr>
          <w:p w14:paraId="0000003C">
            <w:pPr>
              <w:widowControl w:val="on"/>
              <w:ind w:righ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</w:t>
            </w:r>
          </w:p>
        </w:tc>
        <w:tc>
          <w:tcPr>
            <w:cnfStyle w:val="000010000000"/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0" w:type="dxa"/>
              <w:right w:w="70" w:type="dxa"/>
            </w:tcMar>
            <w:vAlign w:val="center"/>
          </w:tcPr>
          <w:p w14:paraId="0000003D">
            <w:pPr>
              <w:widowControl w:val="on"/>
              <w:ind w:righ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</w:t>
            </w:r>
          </w:p>
        </w:tc>
      </w:tr>
      <w:tr>
        <w:trPr>
          <w:trHeight w:val="360" w:hRule="atLeast"/>
        </w:trPr>
        <w:tc>
          <w:tcPr>
            <w:cnfStyle w:val="000010000000"/>
            <w:tcW w:w="3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0" w:type="dxa"/>
              <w:right w:w="70" w:type="dxa"/>
            </w:tcMar>
          </w:tcPr>
          <w:p w14:paraId="0000003E">
            <w:pPr>
              <w:widowControl w:val="on"/>
              <w:ind w:right="0"/>
              <w:rPr>
                <w:rFonts w:ascii="Times New Roman" w:hAnsi="Times New Roman"/>
                <w:color w:val="000000"/>
                <w:sz w:val="23"/>
              </w:rPr>
            </w:pPr>
            <w:r>
              <w:rPr>
                <w:rFonts w:ascii="Times New Roman" w:hAnsi="Times New Roman"/>
                <w:color w:val="000000"/>
                <w:sz w:val="23"/>
              </w:rPr>
              <w:t>65</w:t>
            </w:r>
            <w:r>
              <w:rPr>
                <w:rFonts w:ascii="Times New Roman" w:hAnsi="Times New Roman"/>
                <w:color w:val="000000"/>
                <w:sz w:val="23"/>
              </w:rPr>
              <w:t xml:space="preserve">0 01 06 05 01 </w:t>
            </w:r>
            <w:r>
              <w:rPr>
                <w:rFonts w:ascii="Times New Roman" w:hAnsi="Times New Roman"/>
                <w:color w:val="000000"/>
                <w:sz w:val="23"/>
              </w:rPr>
              <w:t>10</w:t>
            </w:r>
            <w:r>
              <w:rPr>
                <w:rFonts w:ascii="Times New Roman" w:hAnsi="Times New Roman"/>
                <w:color w:val="000000"/>
                <w:sz w:val="23"/>
              </w:rPr>
              <w:t xml:space="preserve"> 0000 540</w:t>
            </w:r>
          </w:p>
        </w:tc>
        <w:tc>
          <w:tcPr>
            <w:cnfStyle w:val="000001000000"/>
            <w:tcW w:w="411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0" w:type="dxa"/>
              <w:right w:w="70" w:type="dxa"/>
            </w:tcMar>
          </w:tcPr>
          <w:p w14:paraId="0000003F">
            <w:pPr>
              <w:widowControl w:val="on"/>
              <w:ind w:right="0"/>
              <w:rPr>
                <w:rFonts w:ascii="Times New Roman" w:hAnsi="Times New Roman"/>
                <w:color w:val="000000"/>
                <w:sz w:val="23"/>
              </w:rPr>
            </w:pPr>
            <w:r>
              <w:rPr>
                <w:rFonts w:ascii="Times New Roman" w:hAnsi="Times New Roman"/>
                <w:color w:val="000000"/>
                <w:sz w:val="23"/>
              </w:rPr>
              <w:t xml:space="preserve"> Предоставление бюджетных кредитов юридическим лицам из бюджетов</w:t>
            </w:r>
            <w:r>
              <w:rPr>
                <w:rFonts w:ascii="Times New Roman" w:hAnsi="Times New Roman"/>
                <w:color w:val="000000"/>
                <w:sz w:val="23"/>
              </w:rPr>
              <w:t xml:space="preserve"> сельских</w:t>
            </w:r>
            <w:r>
              <w:rPr>
                <w:rFonts w:ascii="Times New Roman" w:hAnsi="Times New Roman"/>
                <w:color w:val="000000"/>
                <w:sz w:val="23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3"/>
              </w:rPr>
              <w:t>поселений</w:t>
            </w:r>
            <w:r>
              <w:rPr>
                <w:rFonts w:ascii="Times New Roman" w:hAnsi="Times New Roman"/>
                <w:color w:val="000000"/>
                <w:sz w:val="23"/>
              </w:rPr>
              <w:t xml:space="preserve"> в валюте Российской Федерации</w:t>
            </w:r>
          </w:p>
        </w:tc>
        <w:tc>
          <w:tcPr>
            <w:cnfStyle w:val="000010000000"/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0" w:type="dxa"/>
              <w:right w:w="70" w:type="dxa"/>
            </w:tcMar>
            <w:vAlign w:val="center"/>
          </w:tcPr>
          <w:p w14:paraId="00000040">
            <w:pPr>
              <w:widowControl w:val="on"/>
              <w:ind w:righ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</w:t>
            </w:r>
          </w:p>
        </w:tc>
        <w:tc>
          <w:tcPr>
            <w:cnfStyle w:val="000001000000"/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0" w:type="dxa"/>
              <w:right w:w="70" w:type="dxa"/>
            </w:tcMar>
            <w:vAlign w:val="center"/>
          </w:tcPr>
          <w:p w14:paraId="00000041">
            <w:pPr>
              <w:widowControl w:val="on"/>
              <w:ind w:righ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</w:t>
            </w:r>
          </w:p>
        </w:tc>
        <w:tc>
          <w:tcPr>
            <w:cnfStyle w:val="000010000000"/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0" w:type="dxa"/>
              <w:right w:w="70" w:type="dxa"/>
            </w:tcMar>
            <w:vAlign w:val="center"/>
          </w:tcPr>
          <w:p w14:paraId="00000042">
            <w:pPr>
              <w:widowControl w:val="on"/>
              <w:ind w:righ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</w:t>
            </w:r>
          </w:p>
        </w:tc>
      </w:tr>
      <w:tr>
        <w:trPr>
          <w:trHeight w:val="360" w:hRule="atLeast"/>
        </w:trPr>
        <w:tc>
          <w:tcPr>
            <w:cnfStyle w:val="000010000000"/>
            <w:tcW w:w="3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0" w:type="dxa"/>
              <w:right w:w="70" w:type="dxa"/>
            </w:tcMar>
          </w:tcPr>
          <w:p w14:paraId="00000043">
            <w:pPr>
              <w:widowControl w:val="on"/>
              <w:ind w:right="0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cnfStyle w:val="000001000000"/>
            <w:tcW w:w="411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0" w:type="dxa"/>
              <w:right w:w="70" w:type="dxa"/>
            </w:tcMar>
          </w:tcPr>
          <w:p w14:paraId="00000044">
            <w:pPr>
              <w:widowControl w:val="on"/>
              <w:ind w:right="0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источников финансирования дефицита бюджета         </w:t>
            </w:r>
          </w:p>
        </w:tc>
        <w:tc>
          <w:tcPr>
            <w:cnfStyle w:val="000010000000"/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0" w:type="dxa"/>
              <w:right w:w="70" w:type="dxa"/>
            </w:tcMar>
            <w:vAlign w:val="center"/>
          </w:tcPr>
          <w:p w14:paraId="00000045">
            <w:pPr>
              <w:widowControl w:val="on"/>
              <w:ind w:right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19 521,6</w:t>
            </w:r>
          </w:p>
        </w:tc>
        <w:tc>
          <w:tcPr>
            <w:cnfStyle w:val="000001000000"/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0" w:type="dxa"/>
              <w:right w:w="70" w:type="dxa"/>
            </w:tcMar>
            <w:vAlign w:val="center"/>
          </w:tcPr>
          <w:p w14:paraId="00000046">
            <w:pPr>
              <w:jc w:val="center"/>
              <w:rPr/>
            </w:pPr>
            <w:r>
              <w:rPr>
                <w:b/>
              </w:rPr>
              <w:t>0,0</w:t>
            </w:r>
          </w:p>
        </w:tc>
        <w:tc>
          <w:tcPr>
            <w:cnfStyle w:val="000010000000"/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0" w:type="dxa"/>
              <w:right w:w="70" w:type="dxa"/>
            </w:tcMar>
            <w:vAlign w:val="center"/>
          </w:tcPr>
          <w:p w14:paraId="00000047">
            <w:pPr>
              <w:jc w:val="center"/>
              <w:rPr/>
            </w:pPr>
            <w:r>
              <w:rPr>
                <w:b/>
              </w:rPr>
              <w:t>0,0</w:t>
            </w:r>
          </w:p>
        </w:tc>
      </w:tr>
    </w:tbl>
    <w:p w14:paraId="00000048">
      <w:pPr>
        <w:rPr>
          <w:color w:val="000000"/>
        </w:rPr>
      </w:pPr>
    </w:p>
    <w:p w14:paraId="00000049">
      <w:pPr>
        <w:rPr>
          <w:color w:val="000000"/>
        </w:rPr>
      </w:pPr>
    </w:p>
    <w:sectPr>
      <w:pgSz w:w="11906" w:h="16838" w:orient="portrait"/>
      <w:pgMar w:top="284" w:right="567" w:bottom="284" w:left="1418" w:header="709" w:footer="709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0" w:usb1="400004ff" w:usb2="00000000" w:usb3="00000000" w:csb0="0000019f" w:csb1="00000000"/>
  </w:font>
  <w:font w:name="ＭＳ 明朝">
    <w:panose1 w:val="00000000000000000000"/>
    <w:charset w:val="80"/>
    <w:family w:val="roman"/>
    <w:notTrueType w:val="on"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0" w:usb1="4000acff" w:usb2="00000009" w:usb3="00000000" w:csb0="0000019f" w:csb1="00000000"/>
  </w:font>
  <w:font w:name="ＭＳ ゴシック">
    <w:panose1 w:val="00000000000000000000"/>
    <w:charset w:val="80"/>
    <w:family w:val="modern"/>
    <w:notTrueType w:val="on"/>
    <w:pitch w:val="fixed"/>
    <w:sig w:usb0="00000001" w:usb1="08070000" w:usb2="00000010" w:usb3="00000000" w:csb0="00020000" w:csb1="00000000"/>
  </w:font>
  <w:font w:name="Consolas">
    <w:panose1 w:val="020b0609020204030204"/>
    <w:charset w:val="00"/>
    <w:family w:val="auto"/>
    <w:pitch w:val="variable"/>
    <w:sig w:usb0="00000000" w:usb1="4000fcff" w:usb2="00000009" w:usb3="00000000" w:csb0="0000019f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00000000" w:usb1="00000000" w:usb2="00000009" w:usb3="00000000" w:csb0="000001ff" w:csb1="00000000"/>
  </w:font>
  <w:font w:name="Tahoma">
    <w:panose1 w:val="020b0604030504040204"/>
    <w:charset w:val="00"/>
    <w:family w:val="roman"/>
    <w:pitch w:val="variable"/>
    <w:sig w:usb0="61002a87" w:usb1="00000000" w:usb2="00000008" w:usb3="00000000" w:csb0="000001ff" w:csb1="00000000"/>
  </w:font>
  <w:font w:name="Verdana">
    <w:panose1 w:val="020b0604030504040204"/>
    <w:charset w:val="00"/>
    <w:family w:val="roman"/>
    <w:pitch w:val="variable"/>
    <w:sig w:usb0="00000000" w:usb1="4000205b" w:usb2="00000010" w:usb3="00000000" w:csb0="0000019f" w:csb1="00000000"/>
  </w:font>
  <w:font w:name="Symbol">
    <w:panose1 w:val="05050102010706020507"/>
    <w:charset w:val="02"/>
    <w:family w:val="roman"/>
    <w:notTrueType w:val="on"/>
    <w:pitch w:val="variable"/>
  </w:font>
  <w:font w:name="Wingdings">
    <w:panose1 w:val="05000000000000000000"/>
    <w:charset w:val="02"/>
    <w:family w:val="auto"/>
    <w:notTrueType w:val="on"/>
    <w:pitch w:val="variable"/>
  </w:font>
  <w:font w:name="Helvetica Neue">
    <w:charset w:val="00"/>
    <w:family w:val="swiss"/>
    <w:pitch w:val="variable"/>
  </w:font>
  <w:font w:name="XO Thames"/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  <w:footnotePr/>
  <w:endnotePr/>
</w:settings>
</file>

<file path=word/styles.xml><?xml version="1.0" encoding="utf-8"?>
<w:styles xmlns:r="http://schemas.openxmlformats.org/officeDocument/2006/relationships" xmlns:w14="http://schemas.microsoft.com/office/word/2010/wordml" xmlns:w="http://schemas.openxmlformats.org/wordprocessingml/2006/main">
  <w:docDefaults>
    <w:rPrDefault>
      <w:rPr>
        <w:rFonts w:ascii="Times New Roman" w:hAnsi="Times New Roman"/>
        <w:color w:val="000000"/>
        <w:spacing w:val="0"/>
        <w:sz w:val="20"/>
      </w:rPr>
    </w:rPrDefault>
    <w:pPrDefault>
      <w:pPr>
        <w:spacing w:before="0" w:after="0" w:line="240" w:lineRule="auto"/>
        <w:ind w:left="0" w:right="0" w:firstLine="0"/>
        <w:jc w:val="left"/>
      </w:pPr>
    </w:pPrDefault>
  </w:docDefaults>
  <w:style w:type="paragraph" w:styleId="Heading6">
    <w:name w:val="Heading 6"/>
    <w:link w:val="Heading6Char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i/>
      <w:iCs/>
      <w:color w:val="243f60" w:themeColor="accent1" w:themeShade="7f"/>
    </w:rPr>
  </w:style>
  <w:style w:type="paragraph" w:styleId="Heading7">
    <w:name w:val="Heading 7"/>
    <w:link w:val="Heading7Char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i/>
      <w:iCs/>
      <w:color w:val="404040" w:themeColor="text1" w:themeTint="bf"/>
    </w:rPr>
  </w:style>
  <w:style w:type="paragraph" w:styleId="Heading8">
    <w:name w:val="Heading 8"/>
    <w:link w:val="Heading8Char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color w:val="404040" w:themeColor="text1" w:themeTint="bf"/>
      <w:sz w:val="20"/>
      <w:szCs w:val="20"/>
    </w:rPr>
  </w:style>
  <w:style w:type="paragraph" w:styleId="Heading9">
    <w:name w:val="Heading 9"/>
    <w:link w:val="Heading9Char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i/>
      <w:iCs/>
      <w:color w:val="404040" w:themeColor="text1" w:themeTint="bf"/>
      <w:sz w:val="20"/>
      <w:szCs w:val="20"/>
    </w:rPr>
  </w:style>
  <w:style w:type="numbering" w:styleId="NoList">
    <w:name w:val="No List"/>
    <w:uiPriority w:val="99"/>
    <w:semiHidden w:val="on"/>
    <w:unhideWhenUsed w:val="on"/>
  </w:style>
  <w:style w:type="paragraph" w:styleId="NoSpacing">
    <w:name w:val="No Spacing"/>
    <w:uiPriority w:val="1"/>
    <w:qFormat w:val="on"/>
    <w:pPr>
      <w:spacing w:after="0" w:line="240" w:lineRule="auto"/>
    </w:pPr>
  </w:style>
  <w:style w:type="character" w:customStyle="1" w:styleId="Heading1Char">
    <w:name w:val="Heading 1 Char"/>
    <w:uiPriority w:val="9"/>
    <w:rPr>
      <w:rFonts w:asciiTheme="majorHAnsi" w:cstheme="majorBidi" w:eastAsiaTheme="majorEastAsia" w:hAnsiTheme="majorHAnsi"/>
      <w:b/>
      <w:bCs/>
      <w:color w:val="376091" w:themeColor="accent1" w:themeShade="bf"/>
      <w:sz w:val="28"/>
      <w:szCs w:val="28"/>
    </w:rPr>
  </w:style>
  <w:style w:type="character" w:customStyle="1" w:styleId="Heading2Char">
    <w:name w:val="Heading 2 Char"/>
    <w:uiPriority w:val="9"/>
    <w:rPr>
      <w:rFonts w:asciiTheme="majorHAnsi" w:cstheme="majorBidi" w:eastAsiaTheme="majorEastAsia" w:hAnsiTheme="majorHAns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uiPriority w:val="9"/>
    <w:rPr>
      <w:rFonts w:asciiTheme="majorHAnsi" w:cstheme="majorBidi" w:eastAsiaTheme="majorEastAsia" w:hAnsiTheme="majorHAnsi"/>
      <w:b/>
      <w:bCs/>
      <w:color w:val="4f81bd" w:themeColor="accent1"/>
    </w:rPr>
  </w:style>
  <w:style w:type="character" w:customStyle="1" w:styleId="Heading4Char">
    <w:name w:val="Heading 4 Char"/>
    <w:uiPriority w:val="9"/>
    <w:rPr>
      <w:rFonts w:asciiTheme="majorHAnsi" w:cstheme="majorBidi" w:eastAsiaTheme="majorEastAsia" w:hAnsiTheme="majorHAnsi"/>
      <w:b/>
      <w:bCs/>
      <w:i/>
      <w:iCs/>
      <w:color w:val="4f81bd" w:themeColor="accent1"/>
    </w:rPr>
  </w:style>
  <w:style w:type="character" w:customStyle="1" w:styleId="Heading5Char">
    <w:name w:val="Heading 5 Char"/>
    <w:uiPriority w:val="9"/>
    <w:rPr>
      <w:rFonts w:asciiTheme="majorHAnsi" w:cstheme="majorBidi" w:eastAsiaTheme="majorEastAsia" w:hAnsiTheme="majorHAnsi"/>
      <w:color w:val="243f60" w:themeColor="accent1" w:themeShade="7f"/>
    </w:rPr>
  </w:style>
  <w:style w:type="character" w:customStyle="1" w:styleId="Heading6Char">
    <w:name w:val="Heading 6 Char"/>
    <w:link w:val="Heading6"/>
    <w:uiPriority w:val="9"/>
    <w:rPr>
      <w:rFonts w:asciiTheme="majorHAnsi" w:cstheme="majorBidi" w:eastAsiaTheme="majorEastAsia" w:hAnsiTheme="majorHAnsi"/>
      <w:i/>
      <w:iCs/>
      <w:color w:val="243f60" w:themeColor="accent1" w:themeShade="7f"/>
    </w:rPr>
  </w:style>
  <w:style w:type="character" w:customStyle="1" w:styleId="Heading7Char">
    <w:name w:val="Heading 7 Char"/>
    <w:link w:val="Heading7"/>
    <w:uiPriority w:val="9"/>
    <w:rPr>
      <w:rFonts w:asciiTheme="majorHAnsi" w:cstheme="majorBidi" w:eastAsiaTheme="majorEastAsia" w:hAnsiTheme="majorHAnsi"/>
      <w:i/>
      <w:iCs/>
      <w:color w:val="404040" w:themeColor="text1" w:themeTint="bf"/>
    </w:rPr>
  </w:style>
  <w:style w:type="character" w:customStyle="1" w:styleId="Heading8Char">
    <w:name w:val="Heading 8 Char"/>
    <w:link w:val="Heading8"/>
    <w:uiPriority w:val="9"/>
    <w:rPr>
      <w:rFonts w:asciiTheme="majorHAnsi" w:cstheme="majorBidi" w:eastAsiaTheme="majorEastAsia" w:hAnsiTheme="majorHAnsi"/>
      <w:color w:val="404040" w:themeColor="text1" w:themeTint="bf"/>
      <w:sz w:val="20"/>
      <w:szCs w:val="20"/>
    </w:rPr>
  </w:style>
  <w:style w:type="character" w:customStyle="1" w:styleId="Heading9Char">
    <w:name w:val="Heading 9 Char"/>
    <w:link w:val="Heading9"/>
    <w:uiPriority w:val="9"/>
    <w:rPr>
      <w:rFonts w:asciiTheme="majorHAnsi" w:cstheme="majorBidi" w:eastAsiaTheme="majorEastAsia" w:hAnsiTheme="majorHAnsi"/>
      <w:i/>
      <w:iCs/>
      <w:color w:val="404040" w:themeColor="text1" w:themeTint="bf"/>
      <w:sz w:val="20"/>
      <w:szCs w:val="20"/>
    </w:rPr>
  </w:style>
  <w:style w:type="character" w:customStyle="1" w:styleId="TitleChar">
    <w:name w:val="Title Char"/>
    <w:uiPriority w:val="10"/>
    <w:rPr>
      <w:rFonts w:asciiTheme="majorHAnsi" w:cstheme="majorBidi" w:eastAsiaTheme="majorEastAsia" w:hAnsiTheme="majorHAnsi"/>
      <w:color w:val="17375d" w:themeColor="text2" w:themeShade="bf"/>
      <w:spacing w:val="5"/>
      <w:sz w:val="52"/>
      <w:szCs w:val="52"/>
    </w:rPr>
  </w:style>
  <w:style w:type="character" w:customStyle="1" w:styleId="SubtitleChar">
    <w:name w:val="Subtitle Char"/>
    <w:uiPriority w:val="11"/>
    <w:rPr>
      <w:rFonts w:asciiTheme="majorHAnsi" w:cstheme="majorBidi" w:eastAsiaTheme="majorEastAsia" w:hAnsiTheme="majorHAnsi"/>
      <w:i/>
      <w:iCs/>
      <w:color w:val="4f81bd" w:themeColor="accent1"/>
      <w:spacing w:val="15"/>
      <w:sz w:val="24"/>
      <w:szCs w:val="24"/>
    </w:rPr>
  </w:style>
  <w:style w:type="character" w:styleId="SubtleEmphasis">
    <w:name w:val="Subtle Emphasis"/>
    <w:uiPriority w:val="19"/>
    <w:qFormat w:val="on"/>
    <w:rPr>
      <w:i/>
      <w:iCs/>
      <w:color w:val="808080" w:themeColor="text1" w:themeTint="7f"/>
    </w:rPr>
  </w:style>
  <w:style w:type="character" w:styleId="Emphasis">
    <w:name w:val="Emphasis"/>
    <w:uiPriority w:val="20"/>
    <w:qFormat w:val="on"/>
    <w:rPr>
      <w:i/>
      <w:iCs/>
    </w:rPr>
  </w:style>
  <w:style w:type="character" w:styleId="IntenseEmphasis">
    <w:name w:val="Intense Emphasis"/>
    <w:uiPriority w:val="21"/>
    <w:qFormat w:val="on"/>
    <w:rPr>
      <w:b/>
      <w:bCs/>
      <w:i/>
      <w:iCs/>
      <w:color w:val="4f81bd" w:themeColor="accent1"/>
    </w:rPr>
  </w:style>
  <w:style w:type="character" w:styleId="Strong">
    <w:name w:val="Strong"/>
    <w:uiPriority w:val="22"/>
    <w:qFormat w:val="on"/>
    <w:rPr>
      <w:b/>
      <w:bCs/>
    </w:rPr>
  </w:style>
  <w:style w:type="paragraph" w:styleId="Quote">
    <w:name w:val="Quote"/>
    <w:link w:val="QuoteChar"/>
    <w:uiPriority w:val="29"/>
    <w:qFormat w:val="on"/>
    <w:rPr>
      <w:i/>
      <w:iCs/>
      <w:color w:val="000000" w:themeColor="text1"/>
    </w:rPr>
  </w:style>
  <w:style w:type="character" w:customStyle="1" w:styleId="QuoteChar">
    <w:name w:val="Quote Char"/>
    <w:link w:val="Quote"/>
    <w:uiPriority w:val="29"/>
    <w:rPr>
      <w:i/>
      <w:iCs/>
      <w:color w:val="000000" w:themeColor="text1"/>
    </w:rPr>
  </w:style>
  <w:style w:type="paragraph" w:styleId="IntenseQuote">
    <w:name w:val="Intense Quote"/>
    <w:link w:val="IntenseQuoteChar"/>
    <w:uiPriority w:val="30"/>
    <w:qFormat w:val="on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link w:val="IntenseQuote"/>
    <w:uiPriority w:val="30"/>
    <w:rPr>
      <w:b/>
      <w:bCs/>
      <w:i/>
      <w:iCs/>
      <w:color w:val="4f81bd" w:themeColor="accent1"/>
    </w:rPr>
  </w:style>
  <w:style w:type="character" w:styleId="SubtleReference">
    <w:name w:val="Subtle Reference"/>
    <w:uiPriority w:val="31"/>
    <w:qFormat w:val="on"/>
    <w:rPr>
      <w:smallCaps/>
      <w:color w:val="c0504d" w:themeColor="accent2"/>
      <w:u w:val="single"/>
    </w:rPr>
  </w:style>
  <w:style w:type="character" w:styleId="IntenseReference">
    <w:name w:val="Intense Reference"/>
    <w:uiPriority w:val="32"/>
    <w:qFormat w:val="on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uiPriority w:val="33"/>
    <w:qFormat w:val="on"/>
    <w:rPr>
      <w:b/>
      <w:bCs/>
      <w:smallCaps/>
      <w:spacing w:val="5"/>
    </w:rPr>
  </w:style>
  <w:style w:type="paragraph" w:styleId="Footnotetext">
    <w:name w:val="Footnote text"/>
    <w:link w:val="FootnoteTextChar"/>
    <w:uiPriority w:val="99"/>
    <w:semiHidden w:val="on"/>
    <w:unhideWhenUsed w:val="on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 w:val="on"/>
    <w:rPr>
      <w:sz w:val="20"/>
      <w:szCs w:val="20"/>
    </w:rPr>
  </w:style>
  <w:style w:type="character" w:styleId="Footnotereference">
    <w:name w:val="Footnote reference"/>
    <w:uiPriority w:val="99"/>
    <w:semiHidden w:val="on"/>
    <w:unhideWhenUsed w:val="on"/>
    <w:rPr>
      <w:vertAlign w:val="superscript"/>
    </w:rPr>
  </w:style>
  <w:style w:type="paragraph" w:styleId="Endnotetext">
    <w:name w:val="Endnote text"/>
    <w:link w:val="EndnoteTextChar"/>
    <w:uiPriority w:val="99"/>
    <w:semiHidden w:val="on"/>
    <w:unhideWhenUsed w:val="on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 w:val="on"/>
    <w:rPr>
      <w:sz w:val="20"/>
      <w:szCs w:val="20"/>
    </w:rPr>
  </w:style>
  <w:style w:type="character" w:styleId="Endnotereference">
    <w:name w:val="Endnote reference"/>
    <w:uiPriority w:val="99"/>
    <w:semiHidden w:val="on"/>
    <w:unhideWhenUsed w:val="on"/>
    <w:rPr>
      <w:vertAlign w:val="superscript"/>
    </w:rPr>
  </w:style>
  <w:style w:type="paragraph" w:styleId="PlainText">
    <w:name w:val="Plain Text"/>
    <w:link w:val="PlainTextChar"/>
    <w:uiPriority w:val="99"/>
    <w:semiHidden w:val="on"/>
    <w:unhideWhenUsed w:val="on"/>
    <w:pPr>
      <w:spacing w:after="0" w:line="240" w:lineRule="auto"/>
    </w:pPr>
    <w:rPr>
      <w:rFonts w:ascii="Courier New" w:cs="Courier New" w:hAnsi="Courier New"/>
      <w:sz w:val="21"/>
      <w:szCs w:val="21"/>
    </w:rPr>
  </w:style>
  <w:style w:type="character" w:customStyle="1" w:styleId="PlainTextChar">
    <w:name w:val="Plain Text Char"/>
    <w:link w:val="PlainText"/>
    <w:uiPriority w:val="99"/>
    <w:rPr>
      <w:rFonts w:ascii="Courier New" w:cs="Courier New" w:hAnsi="Courier New"/>
      <w:sz w:val="21"/>
      <w:szCs w:val="21"/>
    </w:rPr>
  </w:style>
  <w:style w:type="paragraph" w:styleId="Header">
    <w:name w:val="Header"/>
    <w:link w:val="HeaderChar"/>
    <w:uiPriority w:val="99"/>
    <w:unhideWhenUsed w:val="on"/>
    <w:pPr>
      <w:spacing w:after="0" w:line="240" w:lineRule="auto"/>
    </w:pPr>
  </w:style>
  <w:style w:type="character" w:customStyle="1" w:styleId="HeaderChar">
    <w:name w:val="Header Char"/>
    <w:link w:val="Header"/>
    <w:uiPriority w:val="99"/>
  </w:style>
  <w:style w:type="paragraph" w:styleId="Footer">
    <w:name w:val="Footer"/>
    <w:link w:val="FooterChar"/>
    <w:uiPriority w:val="99"/>
    <w:unhideWhenUsed w:val="on"/>
    <w:pPr>
      <w:spacing w:after="0" w:line="240" w:lineRule="auto"/>
    </w:pPr>
  </w:style>
  <w:style w:type="character" w:customStyle="1" w:styleId="FooterChar">
    <w:name w:val="Footer Char"/>
    <w:link w:val="Footer"/>
    <w:uiPriority w:val="99"/>
  </w:style>
  <w:style w:type="paragraph" w:styleId="Caption">
    <w:name w:val="Caption"/>
    <w:uiPriority w:val="35"/>
    <w:unhideWhenUsed w:val="on"/>
    <w:qFormat w:val="on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character" w:default="1" w:styleId="Normal">
    <w:name w:val="Normal"/>
    <w:uiPriority w:val="99"/>
    <w:rPr>
      <w:sz w:val="24"/>
    </w:rPr>
  </w:style>
  <w:style w:type="character" w:styleId="Toc2">
    <w:name w:val="Toc 2"/>
    <w:uiPriority w:val="99"/>
    <w:rPr>
      <w:rFonts w:ascii="XO Thames" w:hAnsi="XO Thames"/>
      <w:sz w:val="28"/>
    </w:rPr>
  </w:style>
  <w:style w:type="character" w:styleId="Toc4">
    <w:name w:val="Toc 4"/>
    <w:uiPriority w:val="99"/>
    <w:rPr>
      <w:rFonts w:ascii="XO Thames" w:hAnsi="XO Thames"/>
      <w:sz w:val="28"/>
    </w:rPr>
  </w:style>
  <w:style w:type="character" w:styleId="DefaultParagraphFont">
    <w:name w:val="Default Paragraph Font"/>
    <w:uiPriority w:val="99"/>
  </w:style>
  <w:style w:type="character" w:styleId="Toc6">
    <w:name w:val="Toc 6"/>
    <w:uiPriority w:val="99"/>
    <w:rPr>
      <w:rFonts w:ascii="XO Thames" w:hAnsi="XO Thames"/>
      <w:sz w:val="28"/>
    </w:rPr>
  </w:style>
  <w:style w:type="character" w:styleId="Toc7">
    <w:name w:val="Toc 7"/>
    <w:uiPriority w:val="99"/>
    <w:rPr>
      <w:rFonts w:ascii="XO Thames" w:hAnsi="XO Thames"/>
      <w:sz w:val="28"/>
    </w:rPr>
  </w:style>
  <w:style w:type="character" w:styleId="Heading3">
    <w:name w:val="Heading 3"/>
    <w:uiPriority w:val="99"/>
    <w:rPr>
      <w:rFonts w:ascii="XO Thames" w:hAnsi="XO Thames"/>
      <w:b/>
      <w:sz w:val="26"/>
    </w:rPr>
  </w:style>
  <w:style w:type="character" w:styleId="ListParagraph">
    <w:name w:val="List Paragraph"/>
    <w:basedOn w:val="Normal"/>
    <w:uiPriority w:val="99"/>
  </w:style>
  <w:style w:type="character" w:styleId="ConsNormal">
    <w:name w:val="ConsNormal"/>
    <w:uiPriority w:val="99"/>
    <w:rPr>
      <w:rFonts w:ascii="Arial" w:hAnsi="Arial"/>
    </w:rPr>
  </w:style>
  <w:style w:type="character" w:styleId="Toc3">
    <w:name w:val="Toc 3"/>
    <w:uiPriority w:val="99"/>
    <w:rPr>
      <w:rFonts w:ascii="XO Thames" w:hAnsi="XO Thames"/>
      <w:sz w:val="28"/>
    </w:rPr>
  </w:style>
  <w:style w:type="character" w:styleId="BalloonText">
    <w:name w:val="Balloon Text"/>
    <w:basedOn w:val="Normal"/>
    <w:uiPriority w:val="99"/>
    <w:rPr>
      <w:rFonts w:ascii="Tahoma" w:hAnsi="Tahoma"/>
      <w:sz w:val="16"/>
    </w:rPr>
  </w:style>
  <w:style w:type="character" w:styleId="Heading5">
    <w:name w:val="Heading 5"/>
    <w:uiPriority w:val="99"/>
    <w:rPr>
      <w:rFonts w:ascii="XO Thames" w:hAnsi="XO Thames"/>
      <w:b/>
      <w:sz w:val="22"/>
    </w:rPr>
  </w:style>
  <w:style w:type="character" w:styleId="Heading1">
    <w:name w:val="Heading 1"/>
    <w:uiPriority w:val="99"/>
    <w:rPr>
      <w:rFonts w:ascii="XO Thames" w:hAnsi="XO Thames"/>
      <w:b/>
      <w:sz w:val="32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Footnote">
    <w:name w:val="Footnote"/>
    <w:uiPriority w:val="99"/>
    <w:rPr>
      <w:rFonts w:ascii="XO Thames" w:hAnsi="XO Thames"/>
      <w:sz w:val="22"/>
    </w:rPr>
  </w:style>
  <w:style w:type="character" w:styleId="Toc1">
    <w:name w:val="Toc 1"/>
    <w:uiPriority w:val="99"/>
    <w:rPr>
      <w:rFonts w:ascii="XO Thames" w:hAnsi="XO Thames"/>
      <w:b/>
      <w:sz w:val="28"/>
    </w:rPr>
  </w:style>
  <w:style w:type="character" w:styleId="HeaderandFooter">
    <w:name w:val="Header and Footer"/>
    <w:uiPriority w:val="99"/>
    <w:rPr>
      <w:rFonts w:ascii="XO Thames" w:hAnsi="XO Thames"/>
      <w:sz w:val="20"/>
    </w:rPr>
  </w:style>
  <w:style w:type="character" w:styleId="Toc9">
    <w:name w:val="Toc 9"/>
    <w:uiPriority w:val="99"/>
    <w:rPr>
      <w:rFonts w:ascii="XO Thames" w:hAnsi="XO Thames"/>
      <w:sz w:val="28"/>
    </w:rPr>
  </w:style>
  <w:style w:type="character" w:styleId="Toc8">
    <w:name w:val="Toc 8"/>
    <w:uiPriority w:val="99"/>
    <w:rPr>
      <w:rFonts w:ascii="XO Thames" w:hAnsi="XO Thames"/>
      <w:sz w:val="28"/>
    </w:rPr>
  </w:style>
  <w:style w:type="character" w:styleId="ConsCell">
    <w:name w:val="ConsCell"/>
    <w:uiPriority w:val="99"/>
    <w:rPr>
      <w:rFonts w:ascii="Arial" w:hAnsi="Arial"/>
    </w:rPr>
  </w:style>
  <w:style w:type="character" w:styleId="Toc5">
    <w:name w:val="Toc 5"/>
    <w:uiPriority w:val="99"/>
    <w:rPr>
      <w:rFonts w:ascii="XO Thames" w:hAnsi="XO Thames"/>
      <w:sz w:val="28"/>
    </w:rPr>
  </w:style>
  <w:style w:type="character" w:styleId="Subtitle">
    <w:name w:val="Subtitle"/>
    <w:uiPriority w:val="99"/>
    <w:rPr>
      <w:rFonts w:ascii="XO Thames" w:hAnsi="XO Thames"/>
      <w:i/>
      <w:sz w:val="24"/>
    </w:rPr>
  </w:style>
  <w:style w:type="character" w:styleId="ConsNonformat">
    <w:name w:val="ConsNonformat"/>
    <w:uiPriority w:val="99"/>
    <w:rPr>
      <w:rFonts w:ascii="Courier New" w:hAnsi="Courier New"/>
    </w:rPr>
  </w:style>
  <w:style w:type="character" w:styleId="Title">
    <w:name w:val="Title"/>
    <w:uiPriority w:val="99"/>
    <w:rPr>
      <w:rFonts w:ascii="XO Thames" w:hAnsi="XO Thames"/>
      <w:b/>
      <w:caps/>
      <w:sz w:val="40"/>
    </w:rPr>
  </w:style>
  <w:style w:type="character" w:styleId="Heading4">
    <w:name w:val="Heading 4"/>
    <w:uiPriority w:val="99"/>
    <w:rPr>
      <w:rFonts w:ascii="XO Thames" w:hAnsi="XO Thames"/>
      <w:b/>
      <w:sz w:val="24"/>
    </w:rPr>
  </w:style>
  <w:style w:type="character" w:styleId="Heading2">
    <w:name w:val="Heading 2"/>
    <w:uiPriority w:val="99"/>
    <w:rPr>
      <w:rFonts w:ascii="XO Thames" w:hAnsi="XO Thames"/>
      <w:b/>
      <w:sz w:val="28"/>
    </w:rPr>
  </w:style>
  <w:style w:type="table" w:default="1" w:styleId="NormalTable">
    <w:name w:val="Normal Table"/>
    <w:uiPriority w:val="9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ettings" Target="settings.xml"/><Relationship Id="rId3" Type="http://schemas.openxmlformats.org/officeDocument/2006/relationships/styles" Target="styles.xml"/><Relationship Id="rId6" Type="http://schemas.openxmlformats.org/officeDocument/2006/relationships/theme" Target="theme/theme1.xml"/><Relationship Id="rId4" Type="http://schemas.microsoft.com/office/2007/relationships/stylesWithEffects" Target="stylesWithEffects.xml"/><Relationship Id="rId5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Armn" typeface="Arial"/>
        <a:font script="Beng" typeface="Vrinda"/>
        <a:font script="Bopo" typeface="Microsoft JhengHei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Times New Roman"/>
        <a:font script="Knda" typeface="Tunga"/>
        <a:font script="Khmr" typeface="MoolBoran"/>
        <a:font script="Laoo" typeface="DokChampa"/>
        <a:font script="Mlym" typeface="Kartika"/>
        <a:font script="Mong" typeface="Mongolian Baiti"/>
        <a:font script="Mymr" typeface="Myanmar Text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Angsana New"/>
        <a:font script="Tibt" typeface="Microsoft Himalaya"/>
        <a:font script="Cans" typeface="Euphemia"/>
        <a:font script="Yiii" typeface="Microsoft Yi Baiti"/>
        <a:font script="Osma" typeface="Ebrima"/>
        <a:font script="Tale" typeface="Microsoft Tai Le"/>
        <a:font script="Bugi" typeface="Leelawadee UI"/>
        <a:font script="Talu" typeface="Microsoft New Tai Lue"/>
        <a:font script="Tfng" typeface="Ebrima"/>
        <a:font script="Hans" typeface="等线 Light"/>
        <a:font script="Hant" typeface="新細明體"/>
        <a:font script="Java" typeface="Javanese Text"/>
        <a:font script="Nkoo" typeface="Ebrima"/>
        <a:font script="Phag" typeface="Phagspa"/>
        <a:font script="Syre" typeface="Estrangelo Edessa"/>
        <a:font script="Syrj" typeface="Estrangelo Edessa"/>
        <a:font script="Syrn" typeface="Estrangelo Edessa"/>
        <a:font script="Jpan" typeface="游ゴシック Light"/>
        <a:font script="Olck" typeface="Nirmala UI"/>
        <a:font script="Lisu" typeface="Segoe UI"/>
        <a:font script="Sora" typeface="Nirmala UI"/>
      </a:majorFont>
      <a:minorFont>
        <a:latin typeface="Calibri"/>
        <a:ea typeface=""/>
        <a:cs typeface=""/>
        <a:font script="Arab" typeface="Arial"/>
        <a:font script="Armn" typeface="Arial"/>
        <a:font script="Beng" typeface="Vrinda"/>
        <a:font script="Bopo" typeface="Microsoft JhengHei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Arial"/>
        <a:font script="Knda" typeface="Tunga"/>
        <a:font script="Khmr" typeface="DaunPenh"/>
        <a:font script="Laoo" typeface="DokChampa"/>
        <a:font script="Mlym" typeface="Kartika"/>
        <a:font script="Mong" typeface="Mongolian Baiti"/>
        <a:font script="Mymr" typeface="Myanmar Text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Cordia New"/>
        <a:font script="Tibt" typeface="Microsoft Himalaya"/>
        <a:font script="Cans" typeface="Euphemia"/>
        <a:font script="Yiii" typeface="Microsoft Yi Baiti"/>
        <a:font script="Osma" typeface="Ebrima"/>
        <a:font script="Tale" typeface="Microsoft Tai Le"/>
        <a:font script="Bugi" typeface="Leelawadee UI"/>
        <a:font script="Talu" typeface="Microsoft New Tai Lue"/>
        <a:font script="Tfng" typeface="Ebrima"/>
        <a:font script="Hans" typeface="等线"/>
        <a:font script="Hant" typeface="新細明體"/>
        <a:font script="Java" typeface="Javanese Text"/>
        <a:font script="Nkoo" typeface="Ebrima"/>
        <a:font script="Phag" typeface="Phagspa"/>
        <a:font script="Syre" typeface="Estrangelo Edessa"/>
        <a:font script="Syrj" typeface="Estrangelo Edessa"/>
        <a:font script="Syrn" typeface="Estrangelo Edessa"/>
        <a:font script="Jpan" typeface="游ゴシック"/>
        <a:font script="Olck" typeface="Nirmala UI"/>
        <a:font script="Lisu" typeface="Segoe UI"/>
        <a:font script="Sora" typeface="Nirmala UI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0" scaled="0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lin ang="0" scaled="0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lin ang="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MyOffice-CoreFramework-Windows/29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Slr</dc:creator>
  <cp:lastModifiedBy>Slr</cp:lastModifiedBy>
</cp:coreProperties>
</file>